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CC5" w:rsidRPr="0051785C" w:rsidRDefault="00C33CC5" w:rsidP="00580691">
      <w:pPr>
        <w:jc w:val="center"/>
        <w:rPr>
          <w:rFonts w:cs="Arial"/>
          <w:b/>
          <w:bCs/>
          <w:color w:val="403152" w:themeColor="accent4" w:themeShade="80"/>
          <w:sz w:val="16"/>
          <w:szCs w:val="16"/>
        </w:rPr>
      </w:pPr>
    </w:p>
    <w:p w:rsidR="00580691" w:rsidRPr="0051785C" w:rsidRDefault="00580691" w:rsidP="00580691">
      <w:pPr>
        <w:jc w:val="center"/>
        <w:rPr>
          <w:rFonts w:cs="Arial"/>
          <w:b/>
          <w:bCs/>
          <w:color w:val="403152" w:themeColor="accent4" w:themeShade="80"/>
          <w:sz w:val="28"/>
          <w:szCs w:val="28"/>
        </w:rPr>
      </w:pPr>
      <w:r w:rsidRPr="0051785C">
        <w:rPr>
          <w:rFonts w:cs="Arial"/>
          <w:b/>
          <w:bCs/>
          <w:color w:val="403152" w:themeColor="accent4" w:themeShade="80"/>
          <w:sz w:val="28"/>
          <w:szCs w:val="28"/>
        </w:rPr>
        <w:t>GUIDANCE NOTES FOR APPLICANTS</w:t>
      </w: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 xml:space="preserve">The grant is aimed at </w:t>
      </w:r>
      <w:r w:rsidR="00457281">
        <w:rPr>
          <w:rFonts w:cs="Arial"/>
          <w:bCs/>
          <w:color w:val="403152" w:themeColor="accent4" w:themeShade="80"/>
          <w:sz w:val="24"/>
          <w:szCs w:val="24"/>
        </w:rPr>
        <w:t xml:space="preserve">supporting </w:t>
      </w:r>
      <w:r w:rsidRPr="0051785C">
        <w:rPr>
          <w:rFonts w:cs="Arial"/>
          <w:bCs/>
          <w:color w:val="403152" w:themeColor="accent4" w:themeShade="80"/>
          <w:sz w:val="24"/>
          <w:szCs w:val="24"/>
        </w:rPr>
        <w:t>new businesses from 6 months up to 3 years old</w:t>
      </w:r>
      <w:r w:rsidR="00457281">
        <w:rPr>
          <w:rFonts w:cs="Arial"/>
          <w:bCs/>
          <w:color w:val="403152" w:themeColor="accent4" w:themeShade="80"/>
          <w:sz w:val="24"/>
          <w:szCs w:val="24"/>
        </w:rPr>
        <w:t>,</w:t>
      </w:r>
      <w:r w:rsidR="0051785C" w:rsidRPr="0051785C">
        <w:rPr>
          <w:rFonts w:cs="Arial"/>
          <w:bCs/>
          <w:color w:val="403152" w:themeColor="accent4" w:themeShade="80"/>
          <w:sz w:val="24"/>
          <w:szCs w:val="24"/>
        </w:rPr>
        <w:t xml:space="preserve"> to help them to </w:t>
      </w:r>
      <w:r w:rsidRPr="0051785C">
        <w:rPr>
          <w:rFonts w:cs="Arial"/>
          <w:bCs/>
          <w:color w:val="403152" w:themeColor="accent4" w:themeShade="80"/>
          <w:sz w:val="24"/>
          <w:szCs w:val="24"/>
        </w:rPr>
        <w:t>develop and expand.</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580691" w:rsidRPr="0051785C" w:rsidRDefault="0051785C"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B</w:t>
      </w:r>
      <w:r w:rsidR="00580691" w:rsidRPr="0051785C">
        <w:rPr>
          <w:rFonts w:cs="Arial"/>
          <w:bCs/>
          <w:color w:val="403152" w:themeColor="accent4" w:themeShade="80"/>
          <w:sz w:val="24"/>
          <w:szCs w:val="24"/>
        </w:rPr>
        <w:t>usiness</w:t>
      </w:r>
      <w:r w:rsidR="00457281">
        <w:rPr>
          <w:rFonts w:cs="Arial"/>
          <w:bCs/>
          <w:color w:val="403152" w:themeColor="accent4" w:themeShade="80"/>
          <w:sz w:val="24"/>
          <w:szCs w:val="24"/>
        </w:rPr>
        <w:t>es</w:t>
      </w:r>
      <w:r w:rsidRPr="0051785C">
        <w:rPr>
          <w:rFonts w:cs="Arial"/>
          <w:bCs/>
          <w:color w:val="403152" w:themeColor="accent4" w:themeShade="80"/>
          <w:sz w:val="24"/>
          <w:szCs w:val="24"/>
        </w:rPr>
        <w:t xml:space="preserve"> must be based in Blaenau Gwent in order to be eligible.</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 xml:space="preserve">The grant is </w:t>
      </w:r>
      <w:r w:rsidR="0051785C" w:rsidRPr="0051785C">
        <w:rPr>
          <w:rFonts w:cs="Arial"/>
          <w:bCs/>
          <w:color w:val="403152" w:themeColor="accent4" w:themeShade="80"/>
          <w:sz w:val="24"/>
          <w:szCs w:val="24"/>
        </w:rPr>
        <w:t xml:space="preserve">discretionary and may provide up to 50% </w:t>
      </w:r>
      <w:r w:rsidRPr="0051785C">
        <w:rPr>
          <w:rFonts w:cs="Arial"/>
          <w:bCs/>
          <w:color w:val="403152" w:themeColor="accent4" w:themeShade="80"/>
          <w:sz w:val="24"/>
          <w:szCs w:val="24"/>
        </w:rPr>
        <w:t xml:space="preserve">of eligible expenditure, to a maximum of £1,000 of support.  </w:t>
      </w:r>
      <w:r w:rsidRPr="0051785C">
        <w:rPr>
          <w:rFonts w:cs="Arial"/>
          <w:bCs/>
          <w:i/>
          <w:color w:val="403152" w:themeColor="accent4" w:themeShade="80"/>
          <w:sz w:val="24"/>
          <w:szCs w:val="24"/>
        </w:rPr>
        <w:t>Please note. Blaenau Gwent CBC reserves the right to reduce the maximum amount of funding if level of demand for support is high.  In this instance funding rounds will be scheduled, with scoring assessments for each application, to determine level of funding awarded.</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 xml:space="preserve">Eligible expenditure includes ICT, Marketing, Website Development, Training and Accreditation costs.  </w:t>
      </w:r>
      <w:r w:rsidRPr="0051785C">
        <w:rPr>
          <w:rFonts w:cs="Arial"/>
          <w:bCs/>
          <w:i/>
          <w:color w:val="403152" w:themeColor="accent4" w:themeShade="80"/>
          <w:sz w:val="24"/>
          <w:szCs w:val="24"/>
        </w:rPr>
        <w:t xml:space="preserve">Other costs may be considered if </w:t>
      </w:r>
      <w:r w:rsidR="0051785C" w:rsidRPr="0051785C">
        <w:rPr>
          <w:rFonts w:cs="Arial"/>
          <w:bCs/>
          <w:i/>
          <w:color w:val="403152" w:themeColor="accent4" w:themeShade="80"/>
          <w:sz w:val="24"/>
          <w:szCs w:val="24"/>
        </w:rPr>
        <w:t xml:space="preserve">ways of adding </w:t>
      </w:r>
      <w:r w:rsidRPr="0051785C">
        <w:rPr>
          <w:rFonts w:cs="Arial"/>
          <w:bCs/>
          <w:i/>
          <w:color w:val="403152" w:themeColor="accent4" w:themeShade="80"/>
          <w:sz w:val="24"/>
          <w:szCs w:val="24"/>
        </w:rPr>
        <w:t>value to the business can be demonstrated.</w:t>
      </w:r>
      <w:r w:rsidRPr="0051785C">
        <w:rPr>
          <w:rFonts w:cs="Arial"/>
          <w:bCs/>
          <w:color w:val="403152" w:themeColor="accent4" w:themeShade="80"/>
          <w:sz w:val="24"/>
          <w:szCs w:val="24"/>
        </w:rPr>
        <w:t xml:space="preserve">   </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Ineligible expenditur</w:t>
      </w:r>
      <w:r w:rsidR="00026F61">
        <w:rPr>
          <w:rFonts w:cs="Arial"/>
          <w:bCs/>
          <w:color w:val="403152" w:themeColor="accent4" w:themeShade="80"/>
          <w:sz w:val="24"/>
          <w:szCs w:val="24"/>
        </w:rPr>
        <w:t>e includes VAT, vehicles, stock, consumables and revenue costs.</w:t>
      </w:r>
    </w:p>
    <w:p w:rsidR="00C33CC5" w:rsidRPr="0051785C" w:rsidRDefault="00C33CC5" w:rsidP="00C33CC5">
      <w:pPr>
        <w:spacing w:after="0" w:line="240" w:lineRule="auto"/>
        <w:jc w:val="both"/>
        <w:rPr>
          <w:rFonts w:cs="Arial"/>
          <w:bCs/>
          <w:color w:val="403152" w:themeColor="accent4" w:themeShade="80"/>
          <w:sz w:val="24"/>
          <w:szCs w:val="24"/>
        </w:rPr>
      </w:pPr>
    </w:p>
    <w:p w:rsidR="00C33CC5" w:rsidRPr="0051785C" w:rsidRDefault="00C33CC5" w:rsidP="00C33CC5">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
          <w:bCs/>
          <w:color w:val="403152" w:themeColor="accent4" w:themeShade="80"/>
          <w:sz w:val="24"/>
          <w:szCs w:val="24"/>
        </w:rPr>
        <w:t>ALL</w:t>
      </w:r>
      <w:r w:rsidRPr="0051785C">
        <w:rPr>
          <w:rFonts w:cs="Arial"/>
          <w:bCs/>
          <w:color w:val="403152" w:themeColor="accent4" w:themeShade="80"/>
          <w:sz w:val="24"/>
          <w:szCs w:val="24"/>
        </w:rPr>
        <w:t xml:space="preserve"> sections of the application form must be completed and returned, along with: -</w:t>
      </w:r>
    </w:p>
    <w:p w:rsidR="00C33CC5" w:rsidRPr="0051785C" w:rsidRDefault="00C33CC5" w:rsidP="00C33CC5">
      <w:pPr>
        <w:spacing w:after="0" w:line="240" w:lineRule="auto"/>
        <w:jc w:val="both"/>
        <w:rPr>
          <w:rFonts w:cs="Arial"/>
          <w:bCs/>
          <w:color w:val="403152" w:themeColor="accent4" w:themeShade="80"/>
          <w:sz w:val="24"/>
          <w:szCs w:val="24"/>
        </w:rPr>
      </w:pPr>
    </w:p>
    <w:p w:rsidR="00C33CC5" w:rsidRPr="0051785C" w:rsidRDefault="00C33CC5" w:rsidP="00C33CC5">
      <w:pPr>
        <w:pStyle w:val="ListParagraph"/>
        <w:numPr>
          <w:ilvl w:val="0"/>
          <w:numId w:val="5"/>
        </w:numPr>
        <w:spacing w:after="0" w:line="240" w:lineRule="auto"/>
        <w:ind w:left="993" w:hanging="426"/>
        <w:jc w:val="both"/>
        <w:rPr>
          <w:rFonts w:cs="Arial"/>
          <w:bCs/>
          <w:color w:val="403152" w:themeColor="accent4" w:themeShade="80"/>
          <w:sz w:val="24"/>
          <w:szCs w:val="24"/>
        </w:rPr>
      </w:pPr>
      <w:r w:rsidRPr="0051785C">
        <w:rPr>
          <w:rFonts w:cs="Arial"/>
          <w:bCs/>
          <w:color w:val="403152" w:themeColor="accent4" w:themeShade="80"/>
          <w:sz w:val="24"/>
          <w:szCs w:val="24"/>
        </w:rPr>
        <w:t>12 month cash flow forecast</w:t>
      </w:r>
    </w:p>
    <w:p w:rsidR="00C33CC5" w:rsidRPr="0051785C" w:rsidRDefault="00C33CC5" w:rsidP="00C33CC5">
      <w:pPr>
        <w:pStyle w:val="ListParagraph"/>
        <w:numPr>
          <w:ilvl w:val="0"/>
          <w:numId w:val="5"/>
        </w:numPr>
        <w:spacing w:after="0" w:line="240" w:lineRule="auto"/>
        <w:ind w:left="993" w:hanging="426"/>
        <w:jc w:val="both"/>
        <w:rPr>
          <w:rFonts w:cs="Arial"/>
          <w:bCs/>
          <w:color w:val="403152" w:themeColor="accent4" w:themeShade="80"/>
          <w:sz w:val="24"/>
          <w:szCs w:val="24"/>
        </w:rPr>
      </w:pPr>
      <w:r w:rsidRPr="0051785C">
        <w:rPr>
          <w:rFonts w:cs="Arial"/>
          <w:bCs/>
          <w:color w:val="403152" w:themeColor="accent4" w:themeShade="80"/>
          <w:sz w:val="24"/>
          <w:szCs w:val="24"/>
        </w:rPr>
        <w:t>6 months management accounts (at least)</w:t>
      </w:r>
    </w:p>
    <w:p w:rsidR="00C33CC5" w:rsidRPr="0051785C" w:rsidRDefault="00C33CC5" w:rsidP="00C33CC5">
      <w:pPr>
        <w:pStyle w:val="ListParagraph"/>
        <w:numPr>
          <w:ilvl w:val="0"/>
          <w:numId w:val="5"/>
        </w:numPr>
        <w:spacing w:after="0" w:line="240" w:lineRule="auto"/>
        <w:ind w:left="993" w:hanging="426"/>
        <w:jc w:val="both"/>
        <w:rPr>
          <w:rFonts w:cs="Arial"/>
          <w:bCs/>
          <w:color w:val="403152" w:themeColor="accent4" w:themeShade="80"/>
          <w:sz w:val="24"/>
          <w:szCs w:val="24"/>
        </w:rPr>
      </w:pPr>
      <w:r w:rsidRPr="0051785C">
        <w:rPr>
          <w:rFonts w:cs="Arial"/>
          <w:bCs/>
          <w:color w:val="403152" w:themeColor="accent4" w:themeShade="80"/>
          <w:sz w:val="24"/>
          <w:szCs w:val="24"/>
        </w:rPr>
        <w:t>2 comparable quotations.</w:t>
      </w:r>
    </w:p>
    <w:p w:rsidR="00C33CC5" w:rsidRPr="0051785C" w:rsidRDefault="00C33CC5" w:rsidP="00C33CC5">
      <w:pPr>
        <w:spacing w:after="0" w:line="240" w:lineRule="auto"/>
        <w:ind w:left="567"/>
        <w:jc w:val="both"/>
        <w:rPr>
          <w:rFonts w:cs="Arial"/>
          <w:bCs/>
          <w:color w:val="403152" w:themeColor="accent4" w:themeShade="80"/>
          <w:sz w:val="24"/>
          <w:szCs w:val="24"/>
        </w:rPr>
      </w:pP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The company/director(s) must NOT have an interest/shareholding in any of the companies supplying quotes/estimates for the grant application.</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580691" w:rsidRPr="0051785C" w:rsidRDefault="0058069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From the time of receipt of fully completed application (and supporting documents), a decision should be reached within 4 weeks maximum.</w:t>
      </w:r>
    </w:p>
    <w:p w:rsidR="00580691" w:rsidRPr="0051785C" w:rsidRDefault="00580691" w:rsidP="00580691">
      <w:pPr>
        <w:tabs>
          <w:tab w:val="num" w:pos="567"/>
        </w:tabs>
        <w:spacing w:after="0" w:line="240" w:lineRule="auto"/>
        <w:ind w:left="567" w:hanging="567"/>
        <w:jc w:val="both"/>
        <w:rPr>
          <w:rFonts w:cs="Arial"/>
          <w:bCs/>
          <w:color w:val="403152" w:themeColor="accent4" w:themeShade="80"/>
          <w:sz w:val="24"/>
          <w:szCs w:val="24"/>
        </w:rPr>
      </w:pPr>
    </w:p>
    <w:p w:rsidR="00457281" w:rsidRDefault="00580691" w:rsidP="0045728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51785C">
        <w:rPr>
          <w:rFonts w:cs="Arial"/>
          <w:bCs/>
          <w:color w:val="403152" w:themeColor="accent4" w:themeShade="80"/>
          <w:sz w:val="24"/>
          <w:szCs w:val="24"/>
        </w:rPr>
        <w:t>The applicant must accept the terms and conditions of the grant by signing and returning the agreement within 14 days of the date of the offer letter.</w:t>
      </w:r>
    </w:p>
    <w:p w:rsidR="00457281" w:rsidRDefault="00457281" w:rsidP="00457281">
      <w:pPr>
        <w:spacing w:after="0" w:line="240" w:lineRule="auto"/>
        <w:jc w:val="both"/>
        <w:rPr>
          <w:rFonts w:cs="Arial"/>
          <w:bCs/>
          <w:color w:val="403152" w:themeColor="accent4" w:themeShade="80"/>
          <w:sz w:val="24"/>
          <w:szCs w:val="24"/>
        </w:rPr>
      </w:pPr>
    </w:p>
    <w:p w:rsidR="00457281" w:rsidRDefault="00457281" w:rsidP="00457281">
      <w:pPr>
        <w:numPr>
          <w:ilvl w:val="0"/>
          <w:numId w:val="1"/>
        </w:numPr>
        <w:tabs>
          <w:tab w:val="num" w:pos="567"/>
        </w:tabs>
        <w:spacing w:after="0" w:line="240" w:lineRule="auto"/>
        <w:ind w:left="567" w:hanging="567"/>
        <w:jc w:val="both"/>
        <w:rPr>
          <w:rFonts w:cs="Arial"/>
          <w:bCs/>
          <w:color w:val="403152" w:themeColor="accent4" w:themeShade="80"/>
          <w:sz w:val="24"/>
          <w:szCs w:val="24"/>
        </w:rPr>
      </w:pPr>
      <w:r>
        <w:rPr>
          <w:rFonts w:cs="Arial"/>
          <w:bCs/>
          <w:color w:val="403152" w:themeColor="accent4" w:themeShade="80"/>
          <w:sz w:val="24"/>
          <w:szCs w:val="24"/>
        </w:rPr>
        <w:t>All items listed in the application must be purchased within 6 weeks of date of grant approval.  Any extension to this timescale must be requested in writing.</w:t>
      </w:r>
    </w:p>
    <w:p w:rsidR="00457281" w:rsidRDefault="00457281" w:rsidP="00457281">
      <w:pPr>
        <w:spacing w:after="0" w:line="240" w:lineRule="auto"/>
        <w:jc w:val="both"/>
        <w:rPr>
          <w:rFonts w:cs="Arial"/>
          <w:bCs/>
          <w:color w:val="403152" w:themeColor="accent4" w:themeShade="80"/>
          <w:sz w:val="24"/>
          <w:szCs w:val="24"/>
        </w:rPr>
      </w:pPr>
    </w:p>
    <w:p w:rsidR="00457281" w:rsidRPr="00457281" w:rsidRDefault="00457281" w:rsidP="00457281">
      <w:pPr>
        <w:numPr>
          <w:ilvl w:val="0"/>
          <w:numId w:val="1"/>
        </w:numPr>
        <w:tabs>
          <w:tab w:val="num" w:pos="567"/>
        </w:tabs>
        <w:spacing w:after="0" w:line="240" w:lineRule="auto"/>
        <w:ind w:left="567" w:hanging="567"/>
        <w:jc w:val="both"/>
        <w:rPr>
          <w:rFonts w:cs="Arial"/>
          <w:bCs/>
          <w:color w:val="403152" w:themeColor="accent4" w:themeShade="80"/>
          <w:sz w:val="24"/>
          <w:szCs w:val="24"/>
        </w:rPr>
      </w:pPr>
      <w:r w:rsidRPr="00457281">
        <w:rPr>
          <w:rFonts w:cs="Arial"/>
          <w:b/>
          <w:bCs/>
          <w:color w:val="403152" w:themeColor="accent4" w:themeShade="80"/>
          <w:sz w:val="24"/>
          <w:szCs w:val="24"/>
        </w:rPr>
        <w:t>NO</w:t>
      </w:r>
      <w:r>
        <w:rPr>
          <w:rFonts w:cs="Arial"/>
          <w:bCs/>
          <w:color w:val="403152" w:themeColor="accent4" w:themeShade="80"/>
          <w:sz w:val="24"/>
          <w:szCs w:val="24"/>
        </w:rPr>
        <w:t xml:space="preserve"> expenditure should be incurred prior to formal grant approval as the grant </w:t>
      </w:r>
      <w:r>
        <w:rPr>
          <w:rFonts w:cs="Arial"/>
          <w:b/>
          <w:bCs/>
          <w:color w:val="403152" w:themeColor="accent4" w:themeShade="80"/>
          <w:sz w:val="24"/>
          <w:szCs w:val="24"/>
        </w:rPr>
        <w:t>cannot</w:t>
      </w:r>
      <w:r>
        <w:rPr>
          <w:rFonts w:cs="Arial"/>
          <w:bCs/>
          <w:color w:val="403152" w:themeColor="accent4" w:themeShade="80"/>
          <w:sz w:val="24"/>
          <w:szCs w:val="24"/>
        </w:rPr>
        <w:t xml:space="preserve"> be awarded retrospectively.</w:t>
      </w:r>
    </w:p>
    <w:p w:rsidR="00457281" w:rsidRDefault="00457281" w:rsidP="00457281">
      <w:pPr>
        <w:spacing w:after="0" w:line="240" w:lineRule="auto"/>
        <w:jc w:val="both"/>
        <w:rPr>
          <w:rFonts w:cs="Arial"/>
          <w:bCs/>
          <w:color w:val="403152" w:themeColor="accent4" w:themeShade="80"/>
          <w:sz w:val="24"/>
          <w:szCs w:val="24"/>
        </w:rPr>
      </w:pPr>
    </w:p>
    <w:p w:rsidR="00233A36" w:rsidRDefault="00233A36" w:rsidP="00233A36">
      <w:pPr>
        <w:numPr>
          <w:ilvl w:val="0"/>
          <w:numId w:val="1"/>
        </w:numPr>
        <w:tabs>
          <w:tab w:val="num" w:pos="567"/>
        </w:tabs>
        <w:spacing w:after="0" w:line="240" w:lineRule="auto"/>
        <w:ind w:left="567" w:hanging="567"/>
        <w:jc w:val="both"/>
        <w:rPr>
          <w:rFonts w:cs="Arial"/>
          <w:bCs/>
          <w:color w:val="403152" w:themeColor="accent4" w:themeShade="80"/>
          <w:sz w:val="24"/>
          <w:szCs w:val="24"/>
        </w:rPr>
      </w:pPr>
      <w:r>
        <w:rPr>
          <w:rFonts w:cs="Arial"/>
          <w:bCs/>
          <w:color w:val="403152" w:themeColor="accent4" w:themeShade="80"/>
          <w:sz w:val="24"/>
          <w:szCs w:val="24"/>
        </w:rPr>
        <w:t xml:space="preserve">The grant is paid retrospectively; once grant approval has been received applicants must pay for eligible items in full and </w:t>
      </w:r>
      <w:r w:rsidR="00CC5D8D">
        <w:rPr>
          <w:rFonts w:cs="Arial"/>
          <w:bCs/>
          <w:color w:val="403152" w:themeColor="accent4" w:themeShade="80"/>
          <w:sz w:val="24"/>
          <w:szCs w:val="24"/>
        </w:rPr>
        <w:t xml:space="preserve">then </w:t>
      </w:r>
      <w:r>
        <w:rPr>
          <w:rFonts w:cs="Arial"/>
          <w:bCs/>
          <w:color w:val="403152" w:themeColor="accent4" w:themeShade="80"/>
          <w:sz w:val="24"/>
          <w:szCs w:val="24"/>
        </w:rPr>
        <w:t xml:space="preserve">claim approved grant contribution through the provision of </w:t>
      </w:r>
      <w:proofErr w:type="gramStart"/>
      <w:r>
        <w:rPr>
          <w:rFonts w:cs="Arial"/>
          <w:bCs/>
          <w:color w:val="403152" w:themeColor="accent4" w:themeShade="80"/>
          <w:sz w:val="24"/>
          <w:szCs w:val="24"/>
        </w:rPr>
        <w:t>invoices/receipts</w:t>
      </w:r>
      <w:proofErr w:type="gramEnd"/>
      <w:r>
        <w:rPr>
          <w:rFonts w:cs="Arial"/>
          <w:bCs/>
          <w:color w:val="403152" w:themeColor="accent4" w:themeShade="80"/>
          <w:sz w:val="24"/>
          <w:szCs w:val="24"/>
        </w:rPr>
        <w:t>.</w:t>
      </w:r>
    </w:p>
    <w:p w:rsidR="00233A36" w:rsidRDefault="00233A36" w:rsidP="00233A36">
      <w:pPr>
        <w:spacing w:after="0" w:line="240" w:lineRule="auto"/>
        <w:jc w:val="both"/>
        <w:rPr>
          <w:rFonts w:cs="Arial"/>
          <w:bCs/>
          <w:color w:val="403152" w:themeColor="accent4" w:themeShade="80"/>
          <w:sz w:val="24"/>
          <w:szCs w:val="24"/>
        </w:rPr>
      </w:pPr>
    </w:p>
    <w:p w:rsidR="00457281" w:rsidRPr="00233A36" w:rsidRDefault="00233A36" w:rsidP="00233A36">
      <w:pPr>
        <w:numPr>
          <w:ilvl w:val="0"/>
          <w:numId w:val="1"/>
        </w:numPr>
        <w:tabs>
          <w:tab w:val="num" w:pos="567"/>
        </w:tabs>
        <w:spacing w:after="0" w:line="240" w:lineRule="auto"/>
        <w:ind w:left="567" w:hanging="567"/>
        <w:jc w:val="both"/>
        <w:rPr>
          <w:rFonts w:cs="Arial"/>
          <w:bCs/>
          <w:color w:val="403152" w:themeColor="accent4" w:themeShade="80"/>
          <w:sz w:val="24"/>
          <w:szCs w:val="24"/>
        </w:rPr>
      </w:pPr>
      <w:r>
        <w:rPr>
          <w:rFonts w:cs="Arial"/>
          <w:bCs/>
          <w:color w:val="403152" w:themeColor="accent4" w:themeShade="80"/>
          <w:sz w:val="24"/>
          <w:szCs w:val="24"/>
        </w:rPr>
        <w:t>A</w:t>
      </w:r>
      <w:r w:rsidRPr="00233A36">
        <w:rPr>
          <w:rFonts w:cs="Arial"/>
          <w:bCs/>
          <w:color w:val="403152" w:themeColor="accent4" w:themeShade="80"/>
          <w:sz w:val="24"/>
          <w:szCs w:val="24"/>
        </w:rPr>
        <w:t xml:space="preserve"> monitoring visit will</w:t>
      </w:r>
      <w:r w:rsidR="00E907CB">
        <w:rPr>
          <w:rFonts w:cs="Arial"/>
          <w:bCs/>
          <w:color w:val="403152" w:themeColor="accent4" w:themeShade="80"/>
          <w:sz w:val="24"/>
          <w:szCs w:val="24"/>
        </w:rPr>
        <w:t xml:space="preserve"> then </w:t>
      </w:r>
      <w:r w:rsidRPr="00233A36">
        <w:rPr>
          <w:rFonts w:cs="Arial"/>
          <w:bCs/>
          <w:color w:val="403152" w:themeColor="accent4" w:themeShade="80"/>
          <w:sz w:val="24"/>
          <w:szCs w:val="24"/>
        </w:rPr>
        <w:t xml:space="preserve">be carried out to view items and collect evidence of expenditure before grant will be paid.  </w:t>
      </w:r>
    </w:p>
    <w:p w:rsidR="00457281" w:rsidRPr="00457281" w:rsidRDefault="00457281" w:rsidP="00457281">
      <w:pPr>
        <w:spacing w:after="0" w:line="240" w:lineRule="auto"/>
        <w:jc w:val="both"/>
        <w:rPr>
          <w:rFonts w:cs="Arial"/>
          <w:bCs/>
          <w:color w:val="403152" w:themeColor="accent4" w:themeShade="80"/>
          <w:sz w:val="24"/>
          <w:szCs w:val="24"/>
        </w:rPr>
      </w:pPr>
    </w:p>
    <w:p w:rsidR="00457281" w:rsidRDefault="00457281" w:rsidP="00580691">
      <w:pPr>
        <w:numPr>
          <w:ilvl w:val="0"/>
          <w:numId w:val="1"/>
        </w:numPr>
        <w:tabs>
          <w:tab w:val="num" w:pos="567"/>
        </w:tabs>
        <w:spacing w:after="0" w:line="240" w:lineRule="auto"/>
        <w:ind w:left="567" w:hanging="567"/>
        <w:jc w:val="both"/>
        <w:rPr>
          <w:rFonts w:cs="Arial"/>
          <w:bCs/>
          <w:color w:val="403152" w:themeColor="accent4" w:themeShade="80"/>
          <w:sz w:val="24"/>
          <w:szCs w:val="24"/>
        </w:rPr>
      </w:pPr>
      <w:r>
        <w:rPr>
          <w:rFonts w:cs="Arial"/>
          <w:bCs/>
          <w:color w:val="403152" w:themeColor="accent4" w:themeShade="80"/>
          <w:sz w:val="24"/>
          <w:szCs w:val="24"/>
        </w:rPr>
        <w:t xml:space="preserve">On receipt of relevant </w:t>
      </w:r>
      <w:r w:rsidR="00233A36">
        <w:rPr>
          <w:rFonts w:cs="Arial"/>
          <w:bCs/>
          <w:color w:val="403152" w:themeColor="accent4" w:themeShade="80"/>
          <w:sz w:val="24"/>
          <w:szCs w:val="24"/>
        </w:rPr>
        <w:t xml:space="preserve">information, </w:t>
      </w:r>
      <w:r>
        <w:rPr>
          <w:rFonts w:cs="Arial"/>
          <w:bCs/>
          <w:color w:val="403152" w:themeColor="accent4" w:themeShade="80"/>
          <w:sz w:val="24"/>
          <w:szCs w:val="24"/>
        </w:rPr>
        <w:t xml:space="preserve">grant monies will be paid directly into business bank account.  </w:t>
      </w:r>
    </w:p>
    <w:p w:rsidR="00233A36" w:rsidRPr="00233A36" w:rsidRDefault="00233A36" w:rsidP="00C33CC5">
      <w:pPr>
        <w:pStyle w:val="ListParagraph"/>
        <w:tabs>
          <w:tab w:val="num" w:pos="0"/>
        </w:tabs>
        <w:ind w:left="0"/>
        <w:jc w:val="center"/>
        <w:rPr>
          <w:b/>
          <w:color w:val="403152" w:themeColor="accent4" w:themeShade="80"/>
        </w:rPr>
      </w:pPr>
    </w:p>
    <w:p w:rsidR="0051785C" w:rsidRPr="0051785C" w:rsidRDefault="00580691" w:rsidP="00C33CC5">
      <w:pPr>
        <w:pStyle w:val="ListParagraph"/>
        <w:tabs>
          <w:tab w:val="num" w:pos="0"/>
        </w:tabs>
        <w:ind w:left="0"/>
        <w:jc w:val="center"/>
        <w:rPr>
          <w:b/>
          <w:color w:val="403152" w:themeColor="accent4" w:themeShade="80"/>
          <w:sz w:val="28"/>
          <w:szCs w:val="28"/>
        </w:rPr>
      </w:pPr>
      <w:r w:rsidRPr="0051785C">
        <w:rPr>
          <w:b/>
          <w:color w:val="403152" w:themeColor="accent4" w:themeShade="80"/>
          <w:sz w:val="28"/>
          <w:szCs w:val="28"/>
        </w:rPr>
        <w:t xml:space="preserve">For further information please contact Blaenau Gwent CBC, </w:t>
      </w:r>
    </w:p>
    <w:p w:rsidR="0051785C" w:rsidRPr="0051785C" w:rsidRDefault="00580691" w:rsidP="00C33CC5">
      <w:pPr>
        <w:pStyle w:val="ListParagraph"/>
        <w:tabs>
          <w:tab w:val="num" w:pos="0"/>
        </w:tabs>
        <w:ind w:left="0"/>
        <w:jc w:val="center"/>
        <w:rPr>
          <w:b/>
          <w:color w:val="403152" w:themeColor="accent4" w:themeShade="80"/>
          <w:sz w:val="28"/>
          <w:szCs w:val="28"/>
        </w:rPr>
      </w:pPr>
      <w:r w:rsidRPr="0051785C">
        <w:rPr>
          <w:b/>
          <w:color w:val="403152" w:themeColor="accent4" w:themeShade="80"/>
          <w:sz w:val="28"/>
          <w:szCs w:val="28"/>
        </w:rPr>
        <w:t>Economic Development Unit on 01495 355700</w:t>
      </w:r>
      <w:r w:rsidR="0051785C" w:rsidRPr="0051785C">
        <w:rPr>
          <w:b/>
          <w:color w:val="403152" w:themeColor="accent4" w:themeShade="80"/>
          <w:sz w:val="28"/>
          <w:szCs w:val="28"/>
        </w:rPr>
        <w:t xml:space="preserve"> </w:t>
      </w:r>
    </w:p>
    <w:p w:rsidR="004D0709" w:rsidRPr="0051785C" w:rsidRDefault="0051785C" w:rsidP="00233A36">
      <w:pPr>
        <w:pStyle w:val="ListParagraph"/>
        <w:tabs>
          <w:tab w:val="num" w:pos="0"/>
        </w:tabs>
        <w:ind w:left="0"/>
        <w:jc w:val="center"/>
        <w:rPr>
          <w:color w:val="403152" w:themeColor="accent4" w:themeShade="80"/>
        </w:rPr>
      </w:pPr>
      <w:proofErr w:type="gramStart"/>
      <w:r w:rsidRPr="0051785C">
        <w:rPr>
          <w:b/>
          <w:color w:val="403152" w:themeColor="accent4" w:themeShade="80"/>
          <w:sz w:val="28"/>
          <w:szCs w:val="28"/>
        </w:rPr>
        <w:t>or</w:t>
      </w:r>
      <w:proofErr w:type="gramEnd"/>
      <w:r w:rsidRPr="0051785C">
        <w:rPr>
          <w:b/>
          <w:color w:val="403152" w:themeColor="accent4" w:themeShade="80"/>
          <w:sz w:val="28"/>
          <w:szCs w:val="28"/>
        </w:rPr>
        <w:t xml:space="preserve"> email </w:t>
      </w:r>
      <w:hyperlink r:id="rId6" w:history="1">
        <w:r w:rsidR="00D75EBE" w:rsidRPr="00CE0780">
          <w:rPr>
            <w:rStyle w:val="Hyperlink"/>
            <w:b/>
            <w:sz w:val="28"/>
            <w:szCs w:val="28"/>
          </w:rPr>
          <w:t>business@blaenau-gwent.gov.uk</w:t>
        </w:r>
      </w:hyperlink>
      <w:r w:rsidRPr="0051785C">
        <w:rPr>
          <w:b/>
          <w:color w:val="403152" w:themeColor="accent4" w:themeShade="80"/>
          <w:sz w:val="28"/>
          <w:szCs w:val="28"/>
        </w:rPr>
        <w:t xml:space="preserve"> </w:t>
      </w:r>
      <w:bookmarkStart w:id="0" w:name="_GoBack"/>
      <w:bookmarkEnd w:id="0"/>
    </w:p>
    <w:sectPr w:rsidR="004D0709" w:rsidRPr="0051785C" w:rsidSect="00C33CC5">
      <w:pgSz w:w="11906" w:h="16838"/>
      <w:pgMar w:top="284" w:right="849" w:bottom="426" w:left="993"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99"/>
    <w:multiLevelType w:val="hybridMultilevel"/>
    <w:tmpl w:val="42B8DBB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123FBA"/>
    <w:multiLevelType w:val="hybridMultilevel"/>
    <w:tmpl w:val="4CA0F286"/>
    <w:lvl w:ilvl="0" w:tplc="0809000F">
      <w:start w:val="1"/>
      <w:numFmt w:val="decimal"/>
      <w:lvlText w:val="%1."/>
      <w:lvlJc w:val="left"/>
      <w:pPr>
        <w:tabs>
          <w:tab w:val="num" w:pos="720"/>
        </w:tabs>
        <w:ind w:left="720" w:hanging="360"/>
      </w:pPr>
    </w:lvl>
    <w:lvl w:ilvl="1" w:tplc="A8B00B78">
      <w:start w:val="4"/>
      <w:numFmt w:val="bullet"/>
      <w:lvlText w:val="-"/>
      <w:lvlJc w:val="left"/>
      <w:pPr>
        <w:tabs>
          <w:tab w:val="num" w:pos="1800"/>
        </w:tabs>
        <w:ind w:left="1800" w:hanging="720"/>
      </w:pPr>
      <w:rPr>
        <w:rFonts w:ascii="Arial" w:eastAsia="Times New Roman" w:hAnsi="Arial" w:cs="Aria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4E8931FB"/>
    <w:multiLevelType w:val="hybridMultilevel"/>
    <w:tmpl w:val="6842396C"/>
    <w:lvl w:ilvl="0" w:tplc="08090001">
      <w:start w:val="1"/>
      <w:numFmt w:val="bullet"/>
      <w:lvlText w:val=""/>
      <w:lvlJc w:val="left"/>
      <w:pPr>
        <w:ind w:left="8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7F6638A2"/>
    <w:multiLevelType w:val="hybridMultilevel"/>
    <w:tmpl w:val="BAB09170"/>
    <w:lvl w:ilvl="0" w:tplc="08090001">
      <w:start w:val="1"/>
      <w:numFmt w:val="bullet"/>
      <w:lvlText w:val=""/>
      <w:lvlJc w:val="left"/>
      <w:pPr>
        <w:ind w:left="1345" w:hanging="360"/>
      </w:pPr>
      <w:rPr>
        <w:rFonts w:ascii="Symbol" w:hAnsi="Symbol" w:hint="default"/>
      </w:rPr>
    </w:lvl>
    <w:lvl w:ilvl="1" w:tplc="08090003" w:tentative="1">
      <w:start w:val="1"/>
      <w:numFmt w:val="bullet"/>
      <w:lvlText w:val="o"/>
      <w:lvlJc w:val="left"/>
      <w:pPr>
        <w:ind w:left="2065" w:hanging="360"/>
      </w:pPr>
      <w:rPr>
        <w:rFonts w:ascii="Courier New" w:hAnsi="Courier New" w:cs="Courier New" w:hint="default"/>
      </w:rPr>
    </w:lvl>
    <w:lvl w:ilvl="2" w:tplc="08090005" w:tentative="1">
      <w:start w:val="1"/>
      <w:numFmt w:val="bullet"/>
      <w:lvlText w:val=""/>
      <w:lvlJc w:val="left"/>
      <w:pPr>
        <w:ind w:left="2785" w:hanging="360"/>
      </w:pPr>
      <w:rPr>
        <w:rFonts w:ascii="Wingdings" w:hAnsi="Wingdings" w:hint="default"/>
      </w:rPr>
    </w:lvl>
    <w:lvl w:ilvl="3" w:tplc="08090001" w:tentative="1">
      <w:start w:val="1"/>
      <w:numFmt w:val="bullet"/>
      <w:lvlText w:val=""/>
      <w:lvlJc w:val="left"/>
      <w:pPr>
        <w:ind w:left="3505" w:hanging="360"/>
      </w:pPr>
      <w:rPr>
        <w:rFonts w:ascii="Symbol" w:hAnsi="Symbol" w:hint="default"/>
      </w:rPr>
    </w:lvl>
    <w:lvl w:ilvl="4" w:tplc="08090003" w:tentative="1">
      <w:start w:val="1"/>
      <w:numFmt w:val="bullet"/>
      <w:lvlText w:val="o"/>
      <w:lvlJc w:val="left"/>
      <w:pPr>
        <w:ind w:left="4225" w:hanging="360"/>
      </w:pPr>
      <w:rPr>
        <w:rFonts w:ascii="Courier New" w:hAnsi="Courier New" w:cs="Courier New" w:hint="default"/>
      </w:rPr>
    </w:lvl>
    <w:lvl w:ilvl="5" w:tplc="08090005" w:tentative="1">
      <w:start w:val="1"/>
      <w:numFmt w:val="bullet"/>
      <w:lvlText w:val=""/>
      <w:lvlJc w:val="left"/>
      <w:pPr>
        <w:ind w:left="4945" w:hanging="360"/>
      </w:pPr>
      <w:rPr>
        <w:rFonts w:ascii="Wingdings" w:hAnsi="Wingdings" w:hint="default"/>
      </w:rPr>
    </w:lvl>
    <w:lvl w:ilvl="6" w:tplc="08090001" w:tentative="1">
      <w:start w:val="1"/>
      <w:numFmt w:val="bullet"/>
      <w:lvlText w:val=""/>
      <w:lvlJc w:val="left"/>
      <w:pPr>
        <w:ind w:left="5665" w:hanging="360"/>
      </w:pPr>
      <w:rPr>
        <w:rFonts w:ascii="Symbol" w:hAnsi="Symbol" w:hint="default"/>
      </w:rPr>
    </w:lvl>
    <w:lvl w:ilvl="7" w:tplc="08090003" w:tentative="1">
      <w:start w:val="1"/>
      <w:numFmt w:val="bullet"/>
      <w:lvlText w:val="o"/>
      <w:lvlJc w:val="left"/>
      <w:pPr>
        <w:ind w:left="6385" w:hanging="360"/>
      </w:pPr>
      <w:rPr>
        <w:rFonts w:ascii="Courier New" w:hAnsi="Courier New" w:cs="Courier New" w:hint="default"/>
      </w:rPr>
    </w:lvl>
    <w:lvl w:ilvl="8" w:tplc="08090005" w:tentative="1">
      <w:start w:val="1"/>
      <w:numFmt w:val="bullet"/>
      <w:lvlText w:val=""/>
      <w:lvlJc w:val="left"/>
      <w:pPr>
        <w:ind w:left="7105"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80691"/>
    <w:rsid w:val="00026F61"/>
    <w:rsid w:val="00233A36"/>
    <w:rsid w:val="0043377E"/>
    <w:rsid w:val="00457281"/>
    <w:rsid w:val="004D0709"/>
    <w:rsid w:val="0051785C"/>
    <w:rsid w:val="00580691"/>
    <w:rsid w:val="0063059A"/>
    <w:rsid w:val="00777708"/>
    <w:rsid w:val="008E497A"/>
    <w:rsid w:val="00C33CC5"/>
    <w:rsid w:val="00CC5D8D"/>
    <w:rsid w:val="00D75B6B"/>
    <w:rsid w:val="00D75EBE"/>
    <w:rsid w:val="00DE6841"/>
    <w:rsid w:val="00E9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691"/>
    <w:pPr>
      <w:ind w:left="720"/>
      <w:contextualSpacing/>
    </w:pPr>
  </w:style>
  <w:style w:type="character" w:styleId="Hyperlink">
    <w:name w:val="Hyperlink"/>
    <w:basedOn w:val="DefaultParagraphFont"/>
    <w:uiPriority w:val="99"/>
    <w:unhideWhenUsed/>
    <w:rsid w:val="005178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blaenau-gwent.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harri_l1</dc:creator>
  <cp:lastModifiedBy>Sarah Jeremiah - Environment and Regeneration</cp:lastModifiedBy>
  <cp:revision>3</cp:revision>
  <cp:lastPrinted>2013-06-14T09:27:00Z</cp:lastPrinted>
  <dcterms:created xsi:type="dcterms:W3CDTF">2015-06-11T10:27:00Z</dcterms:created>
  <dcterms:modified xsi:type="dcterms:W3CDTF">2017-01-16T10:11:00Z</dcterms:modified>
</cp:coreProperties>
</file>